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5B0E" w14:textId="0242013A" w:rsidR="002D715A" w:rsidRPr="00543BD2" w:rsidRDefault="002D715A" w:rsidP="002D715A">
      <w:pPr>
        <w:spacing w:after="120" w:line="240" w:lineRule="auto"/>
        <w:textAlignment w:val="baseline"/>
        <w:outlineLvl w:val="0"/>
        <w:rPr>
          <w:rFonts w:ascii="capita" w:eastAsia="Times New Roman" w:hAnsi="capita" w:cs="Times New Roman"/>
          <w:kern w:val="36"/>
          <w:sz w:val="48"/>
          <w:szCs w:val="48"/>
          <w:lang w:val="en"/>
        </w:rPr>
      </w:pPr>
      <w:r w:rsidRPr="00543BD2">
        <w:rPr>
          <w:rFonts w:ascii="capita" w:eastAsia="Times New Roman" w:hAnsi="capita" w:cs="Times New Roman"/>
          <w:kern w:val="36"/>
          <w:sz w:val="48"/>
          <w:szCs w:val="48"/>
          <w:lang w:val="en"/>
        </w:rPr>
        <w:t xml:space="preserve">Coca-Cola Critical Difference </w:t>
      </w:r>
    </w:p>
    <w:p w14:paraId="78604D39" w14:textId="77777777" w:rsidR="00493765" w:rsidRDefault="002D715A" w:rsidP="00493765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 w:rsidRPr="00543BD2">
        <w:rPr>
          <w:rFonts w:ascii="capita" w:eastAsia="Times New Roman" w:hAnsi="capita" w:cs="Times New Roman"/>
          <w:sz w:val="27"/>
          <w:szCs w:val="27"/>
          <w:lang w:val="en"/>
        </w:rPr>
        <w:t>Faculty Grants for Research on Women, Gender, and Gender Equity</w:t>
      </w:r>
    </w:p>
    <w:p w14:paraId="5BF94896" w14:textId="4EC1B597" w:rsidR="00493765" w:rsidRPr="00493765" w:rsidRDefault="00493765" w:rsidP="00493765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</w:p>
    <w:p w14:paraId="0562846D" w14:textId="251DBE38" w:rsidR="00493765" w:rsidRDefault="00493765" w:rsidP="00493765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Open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to tenure-track and non-tenure track faculty at The Ohio State University </w:t>
      </w:r>
    </w:p>
    <w:p w14:paraId="599DED05" w14:textId="77777777" w:rsidR="000B03AE" w:rsidRDefault="00493765" w:rsidP="00493765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Scholars of any gender may </w:t>
      </w:r>
      <w:proofErr w:type="gramStart"/>
      <w:r>
        <w:rPr>
          <w:rFonts w:ascii="proximanova" w:eastAsia="Times New Roman" w:hAnsi="proximanova" w:cs="Times New Roman"/>
          <w:sz w:val="21"/>
          <w:szCs w:val="21"/>
          <w:lang w:val="en"/>
        </w:rPr>
        <w:t>apply</w:t>
      </w:r>
      <w:proofErr w:type="gramEnd"/>
    </w:p>
    <w:p w14:paraId="2F7F0C96" w14:textId="47002FF2" w:rsidR="00493765" w:rsidRPr="00570D33" w:rsidRDefault="000B03AE" w:rsidP="00493765">
      <w:pPr>
        <w:spacing w:after="0" w:line="348" w:lineRule="atLeast"/>
        <w:textAlignment w:val="baseline"/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</w:pPr>
      <w:bookmarkStart w:id="0" w:name="_Hlk126840442"/>
      <w:r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See </w:t>
      </w:r>
      <w:hyperlink r:id="rId5" w:history="1">
        <w:r w:rsidRPr="00570D33">
          <w:rPr>
            <w:rStyle w:val="Hyperlink"/>
            <w:rFonts w:ascii="proximanova" w:eastAsia="Times New Roman" w:hAnsi="proximanova" w:cs="Times New Roman"/>
            <w:b/>
            <w:bCs/>
            <w:sz w:val="21"/>
            <w:szCs w:val="21"/>
            <w:lang w:val="en"/>
          </w:rPr>
          <w:t>The Women’s Place website</w:t>
        </w:r>
      </w:hyperlink>
      <w:r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for deadlines and grant use dates</w:t>
      </w:r>
      <w:r w:rsidR="00493765"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</w:t>
      </w:r>
    </w:p>
    <w:bookmarkEnd w:id="0"/>
    <w:p w14:paraId="10FCA764" w14:textId="16B5B138" w:rsidR="002D715A" w:rsidRPr="00543BD2" w:rsidRDefault="002D715A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23D344A9" w14:textId="103A04C0" w:rsidR="002D715A" w:rsidRDefault="002D715A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Through the support of the Coca-Cola Foundation, the Critical Difference </w:t>
      </w:r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>program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at The Ohio State University will award </w:t>
      </w:r>
      <w:r w:rsidRPr="00351AF9">
        <w:rPr>
          <w:rFonts w:ascii="proximanova" w:eastAsia="Times New Roman" w:hAnsi="proximanova" w:cs="Times New Roman"/>
          <w:sz w:val="21"/>
          <w:szCs w:val="21"/>
          <w:lang w:val="en"/>
        </w:rPr>
        <w:t>faculty research grants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. The grant competition is administered by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The Women’s Place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and the Critical Difference Research Grants Committee, </w:t>
      </w:r>
      <w:r w:rsidRPr="00832F30">
        <w:rPr>
          <w:rFonts w:ascii="proximanova" w:eastAsia="Times New Roman" w:hAnsi="proximanova" w:cs="Times New Roman"/>
          <w:sz w:val="21"/>
          <w:szCs w:val="21"/>
          <w:lang w:val="en"/>
        </w:rPr>
        <w:t>compri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sed of </w:t>
      </w:r>
      <w:r w:rsidRPr="00832F30">
        <w:rPr>
          <w:rFonts w:ascii="proximanova" w:eastAsia="Times New Roman" w:hAnsi="proximanova" w:cs="Times New Roman"/>
          <w:sz w:val="21"/>
          <w:szCs w:val="21"/>
          <w:lang w:val="en"/>
        </w:rPr>
        <w:t>faculty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from across the university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>. The number of grants depends on availability of funds</w:t>
      </w:r>
      <w:r w:rsidR="008A2B70">
        <w:rPr>
          <w:rFonts w:ascii="proximanova" w:eastAsia="Times New Roman" w:hAnsi="proximanova" w:cs="Times New Roman"/>
          <w:sz w:val="21"/>
          <w:szCs w:val="21"/>
          <w:lang w:val="en"/>
        </w:rPr>
        <w:t>. G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rants </w:t>
      </w:r>
      <w:r w:rsidRPr="00594C26">
        <w:rPr>
          <w:rFonts w:ascii="proximanova" w:eastAsia="Times New Roman" w:hAnsi="proximanova" w:cs="Times New Roman"/>
          <w:sz w:val="21"/>
          <w:szCs w:val="21"/>
          <w:lang w:val="en"/>
        </w:rPr>
        <w:t>may not exceed $2,000</w:t>
      </w: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for a 12-month period. Requests for smaller amounts will be highly competitive; in some cases, partial funding for a proposal may be possible.</w:t>
      </w:r>
    </w:p>
    <w:p w14:paraId="2C9E6F7D" w14:textId="5527CCD3" w:rsidR="008A2B70" w:rsidRDefault="008A2B70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19DDF82A" w14:textId="6707B7C5" w:rsidR="008A2B70" w:rsidRDefault="008A2B70" w:rsidP="008A2B70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Faculty who </w:t>
      </w:r>
      <w:proofErr w:type="gramStart"/>
      <w:r>
        <w:rPr>
          <w:rFonts w:ascii="proximanova" w:eastAsia="Times New Roman" w:hAnsi="proximanova" w:cs="Times New Roman"/>
          <w:sz w:val="21"/>
          <w:szCs w:val="21"/>
          <w:lang w:val="en"/>
        </w:rPr>
        <w:t>have</w:t>
      </w:r>
      <w:proofErr w:type="gramEnd"/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received a CDW Research Grant in the last five years are ineligible to re-apply. </w:t>
      </w:r>
      <w:r w:rsidR="00DD2F2B" w:rsidRPr="00543BD2">
        <w:rPr>
          <w:rFonts w:ascii="proximanova" w:eastAsia="Times New Roman" w:hAnsi="proximanova" w:cs="Times New Roman"/>
          <w:sz w:val="21"/>
          <w:szCs w:val="21"/>
          <w:lang w:val="en"/>
        </w:rPr>
        <w:t>Proposals are encouraged from all departments, colleges, and professional schools.</w:t>
      </w:r>
    </w:p>
    <w:p w14:paraId="6354AED9" w14:textId="430A88AD" w:rsidR="008A2B70" w:rsidRPr="0051776C" w:rsidRDefault="008A2B70" w:rsidP="008A2B70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</w:p>
    <w:p w14:paraId="42C4999E" w14:textId="77777777" w:rsidR="008A2B70" w:rsidRPr="00914854" w:rsidRDefault="008A2B70" w:rsidP="008A2B70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4"/>
          <w:szCs w:val="24"/>
          <w:lang w:val="en"/>
        </w:rPr>
      </w:pPr>
      <w:r w:rsidRPr="00914854">
        <w:rPr>
          <w:rFonts w:ascii="capita" w:eastAsia="Times New Roman" w:hAnsi="capita" w:cs="Times New Roman"/>
          <w:sz w:val="24"/>
          <w:szCs w:val="24"/>
          <w:lang w:val="en"/>
        </w:rPr>
        <w:t>Objectives of the Grant Competition</w:t>
      </w:r>
    </w:p>
    <w:p w14:paraId="0B4613A0" w14:textId="77777777" w:rsidR="008A2B70" w:rsidRPr="0051776C" w:rsidRDefault="008A2B70" w:rsidP="008A2B70">
      <w:pPr>
        <w:numPr>
          <w:ilvl w:val="0"/>
          <w:numId w:val="4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Encourage analysis and research on the perspectives, experiences, and issues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relevant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to women in the U.S. and abroad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(in the past, present, or future) </w:t>
      </w:r>
    </w:p>
    <w:p w14:paraId="1A6B90B5" w14:textId="77777777" w:rsidR="008A2B70" w:rsidRPr="0051776C" w:rsidRDefault="008A2B70" w:rsidP="008A2B70">
      <w:pPr>
        <w:numPr>
          <w:ilvl w:val="0"/>
          <w:numId w:val="4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Promote the development of knowledge, theories, and/or research designs that improve understanding of women’s lives and gender </w:t>
      </w:r>
      <w:proofErr w:type="gramStart"/>
      <w:r>
        <w:rPr>
          <w:rFonts w:ascii="proximanova" w:eastAsia="Times New Roman" w:hAnsi="proximanova" w:cs="Times New Roman"/>
          <w:sz w:val="21"/>
          <w:szCs w:val="21"/>
          <w:lang w:val="en"/>
        </w:rPr>
        <w:t>disparities</w:t>
      </w:r>
      <w:proofErr w:type="gramEnd"/>
    </w:p>
    <w:p w14:paraId="2B9B3058" w14:textId="77777777" w:rsidR="008A2B70" w:rsidRPr="000D1E9D" w:rsidRDefault="008A2B70" w:rsidP="008A2B70">
      <w:pPr>
        <w:numPr>
          <w:ilvl w:val="0"/>
          <w:numId w:val="4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0D1E9D">
        <w:rPr>
          <w:rFonts w:ascii="proximanova" w:eastAsia="Times New Roman" w:hAnsi="proximanova" w:cs="Times New Roman"/>
          <w:sz w:val="21"/>
          <w:szCs w:val="21"/>
          <w:lang w:val="en"/>
        </w:rPr>
        <w:t xml:space="preserve">Promote discipline-based and interdisciplinary scholarship with potential to contribute to improved quality of life for women and underserved </w:t>
      </w:r>
      <w:proofErr w:type="gramStart"/>
      <w:r w:rsidRPr="000D1E9D">
        <w:rPr>
          <w:rFonts w:ascii="proximanova" w:eastAsia="Times New Roman" w:hAnsi="proximanova" w:cs="Times New Roman"/>
          <w:sz w:val="21"/>
          <w:szCs w:val="21"/>
          <w:lang w:val="en"/>
        </w:rPr>
        <w:t>populations</w:t>
      </w:r>
      <w:proofErr w:type="gramEnd"/>
      <w:r w:rsidRPr="000D1E9D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7B9A6978" w14:textId="77777777" w:rsidR="008A2B70" w:rsidRDefault="008A2B70" w:rsidP="008A2B70">
      <w:pPr>
        <w:numPr>
          <w:ilvl w:val="0"/>
          <w:numId w:val="4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Support research, creative inquiry, and artistic performance that promotes diversity, women’s representation, and gender </w:t>
      </w:r>
      <w:proofErr w:type="gramStart"/>
      <w:r>
        <w:rPr>
          <w:rFonts w:ascii="proximanova" w:eastAsia="Times New Roman" w:hAnsi="proximanova" w:cs="Times New Roman"/>
          <w:sz w:val="21"/>
          <w:szCs w:val="21"/>
          <w:lang w:val="en"/>
        </w:rPr>
        <w:t>equity</w:t>
      </w:r>
      <w:proofErr w:type="gramEnd"/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2ADFD564" w14:textId="77777777" w:rsidR="00594C26" w:rsidRPr="00543BD2" w:rsidRDefault="00594C26" w:rsidP="00DD2F2B">
      <w:p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3FF0D751" w14:textId="77777777" w:rsidR="002D715A" w:rsidRPr="00543BD2" w:rsidRDefault="002D715A" w:rsidP="002D715A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 w:rsidRPr="00543BD2">
        <w:rPr>
          <w:rFonts w:ascii="capita" w:eastAsia="Times New Roman" w:hAnsi="capita" w:cs="Times New Roman"/>
          <w:sz w:val="27"/>
          <w:szCs w:val="27"/>
          <w:lang w:val="en"/>
        </w:rPr>
        <w:t>Utilization of Grant Funds</w:t>
      </w:r>
    </w:p>
    <w:p w14:paraId="15810217" w14:textId="21A0E7CD" w:rsidR="002D715A" w:rsidRPr="00543BD2" w:rsidRDefault="00DD2F2B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Grants may be used for research-related travel and receipted expenses, research or administrative assistance, reproduction and data processing costs, research services, payment to human subjects, and </w:t>
      </w:r>
      <w:r w:rsidR="00256980">
        <w:rPr>
          <w:rFonts w:ascii="proximanova" w:eastAsia="Times New Roman" w:hAnsi="proximanova" w:cs="Times New Roman"/>
          <w:sz w:val="21"/>
          <w:szCs w:val="21"/>
          <w:lang w:val="en"/>
        </w:rPr>
        <w:t>purchases of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materials, software, or small equipment.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The following purposes are </w:t>
      </w:r>
      <w:r w:rsidRPr="00DD2F2B">
        <w:rPr>
          <w:rFonts w:ascii="proximanova" w:eastAsia="Times New Roman" w:hAnsi="proximanova" w:cs="Times New Roman"/>
          <w:sz w:val="21"/>
          <w:szCs w:val="21"/>
          <w:u w:val="single"/>
          <w:lang w:val="en"/>
        </w:rPr>
        <w:t>not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eligible expenses for grant funding: release time from teaching; office computers; and travel to professional meetings and conferences to </w:t>
      </w:r>
      <w:r w:rsidRPr="009B6D95">
        <w:rPr>
          <w:rFonts w:ascii="proximanova" w:eastAsia="Times New Roman" w:hAnsi="proximanova" w:cs="Times New Roman"/>
          <w:i/>
          <w:iCs/>
          <w:sz w:val="21"/>
          <w:szCs w:val="21"/>
          <w:lang w:val="en"/>
        </w:rPr>
        <w:t>present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work (you may travel to </w:t>
      </w:r>
      <w:r w:rsidRPr="009B6D95">
        <w:rPr>
          <w:rFonts w:ascii="proximanova" w:eastAsia="Times New Roman" w:hAnsi="proximanova" w:cs="Times New Roman"/>
          <w:i/>
          <w:iCs/>
          <w:sz w:val="21"/>
          <w:szCs w:val="21"/>
          <w:lang w:val="en"/>
        </w:rPr>
        <w:t>conduct research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that leads to subsequent presentations). 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 xml:space="preserve">Faculty advisors also are prohibited from using grant funds to support a graduate student’s research or dissertation. </w:t>
      </w:r>
      <w:r w:rsidR="002D715A">
        <w:rPr>
          <w:rFonts w:ascii="proximanova" w:eastAsia="Times New Roman" w:hAnsi="proximanova" w:cs="Times New Roman"/>
          <w:sz w:val="21"/>
          <w:szCs w:val="21"/>
          <w:lang w:val="en"/>
        </w:rPr>
        <w:t xml:space="preserve">Graduate students may apply independently for funds through 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>this grant</w:t>
      </w:r>
      <w:r w:rsidR="002D715A">
        <w:rPr>
          <w:rFonts w:ascii="proximanova" w:eastAsia="Times New Roman" w:hAnsi="proximanova" w:cs="Times New Roman"/>
          <w:sz w:val="21"/>
          <w:szCs w:val="21"/>
          <w:lang w:val="en"/>
        </w:rPr>
        <w:t>. The Women’s Place</w:t>
      </w:r>
      <w:r w:rsidR="002D715A" w:rsidRPr="00543BD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cannot be held responsible for payment of fees or benefits if grant funds are used as partial support for a </w:t>
      </w:r>
      <w:r w:rsidR="002D715A">
        <w:rPr>
          <w:rFonts w:ascii="proximanova" w:eastAsia="Times New Roman" w:hAnsi="proximanova" w:cs="Times New Roman"/>
          <w:sz w:val="21"/>
          <w:szCs w:val="21"/>
          <w:lang w:val="en"/>
        </w:rPr>
        <w:t xml:space="preserve">graduate research assistant (GRA). </w:t>
      </w:r>
    </w:p>
    <w:p w14:paraId="1139E0A9" w14:textId="77777777" w:rsidR="002D715A" w:rsidRPr="00543BD2" w:rsidRDefault="002D715A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</w:p>
    <w:p w14:paraId="000374FF" w14:textId="46134666" w:rsidR="002D715A" w:rsidRPr="00543BD2" w:rsidRDefault="00570D33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D02B47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lastRenderedPageBreak/>
        <w:t>The grant period begin</w:t>
      </w:r>
      <w:r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>s</w:t>
      </w:r>
      <w:r w:rsidRPr="00D02B47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July 1</w:t>
      </w:r>
      <w:r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of the grant application submission year and ends on</w:t>
      </w:r>
      <w:r w:rsidRPr="00D02B47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June 30</w:t>
      </w:r>
      <w:r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of the following year.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 w:rsidR="00706779" w:rsidRPr="0051776C">
        <w:rPr>
          <w:rFonts w:ascii="proximanova" w:eastAsia="Times New Roman" w:hAnsi="proximanova" w:cs="Times New Roman"/>
          <w:sz w:val="21"/>
          <w:szCs w:val="21"/>
          <w:lang w:val="en"/>
        </w:rPr>
        <w:t>Funds will be disbursed to your departmental fiscal officer for management. Only expenses incurred within the grant period are eligibl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>e. All unused funds will revert</w:t>
      </w:r>
      <w:r w:rsidR="00706779"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to 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>The Women’s Place</w:t>
      </w:r>
      <w:r w:rsidR="00706779"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>at the end of the grant period</w:t>
      </w:r>
      <w:r w:rsidR="00706779" w:rsidRPr="0051776C">
        <w:rPr>
          <w:rFonts w:ascii="proximanova" w:eastAsia="Times New Roman" w:hAnsi="proximanova" w:cs="Times New Roman"/>
          <w:sz w:val="21"/>
          <w:szCs w:val="21"/>
          <w:lang w:val="en"/>
        </w:rPr>
        <w:t>.</w:t>
      </w:r>
      <w:r w:rsidR="00706779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 w:rsidR="002D715A" w:rsidRPr="00543BD2">
        <w:rPr>
          <w:rFonts w:ascii="proximanova" w:eastAsia="Times New Roman" w:hAnsi="proximanova" w:cs="Times New Roman"/>
          <w:sz w:val="21"/>
          <w:szCs w:val="21"/>
          <w:lang w:val="en"/>
        </w:rPr>
        <w:t>If you receive other funding to cover the same expenses for which you requested funding from this grant competition, you will need to notify us and amend your budget accordingly. </w:t>
      </w:r>
    </w:p>
    <w:p w14:paraId="1FABFFBB" w14:textId="77777777" w:rsidR="002D715A" w:rsidRPr="00543BD2" w:rsidRDefault="002D715A" w:rsidP="002D715A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43BD2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</w:p>
    <w:p w14:paraId="247E590A" w14:textId="5878BC70" w:rsidR="002D715A" w:rsidRDefault="002D715A" w:rsidP="002D715A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 w:rsidRPr="00543BD2">
        <w:rPr>
          <w:rFonts w:ascii="capita" w:eastAsia="Times New Roman" w:hAnsi="capita" w:cs="Times New Roman"/>
          <w:sz w:val="27"/>
          <w:szCs w:val="27"/>
          <w:lang w:val="en"/>
        </w:rPr>
        <w:t>Evaluation Criteria</w:t>
      </w:r>
    </w:p>
    <w:p w14:paraId="3630113E" w14:textId="77777777" w:rsidR="00706779" w:rsidRPr="0051776C" w:rsidRDefault="00706779" w:rsidP="00706779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Proposals will be evaluated according to the following criteria: </w:t>
      </w:r>
    </w:p>
    <w:p w14:paraId="6D125029" w14:textId="46AB8E73" w:rsidR="00706779" w:rsidRPr="0051776C" w:rsidRDefault="00706779" w:rsidP="00706779">
      <w:pPr>
        <w:numPr>
          <w:ilvl w:val="0"/>
          <w:numId w:val="5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alignment with the objectives of the </w:t>
      </w:r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>Critical Difference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research grant </w:t>
      </w:r>
    </w:p>
    <w:p w14:paraId="729A3086" w14:textId="77777777" w:rsidR="00706779" w:rsidRPr="0051776C" w:rsidRDefault="00706779" w:rsidP="00706779">
      <w:pPr>
        <w:numPr>
          <w:ilvl w:val="0"/>
          <w:numId w:val="5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contribution to the applicant’s field</w:t>
      </w:r>
    </w:p>
    <w:p w14:paraId="204479CB" w14:textId="77777777" w:rsidR="00706779" w:rsidRDefault="00706779" w:rsidP="00706779">
      <w:pPr>
        <w:numPr>
          <w:ilvl w:val="0"/>
          <w:numId w:val="5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feasibility of the proposed research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or activity </w:t>
      </w:r>
    </w:p>
    <w:p w14:paraId="7E0136FC" w14:textId="77777777" w:rsidR="00706779" w:rsidRDefault="00706779" w:rsidP="00706779">
      <w:pPr>
        <w:numPr>
          <w:ilvl w:val="0"/>
          <w:numId w:val="5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>significance of the project for advancing scholarship about women and gender equity</w:t>
      </w:r>
    </w:p>
    <w:p w14:paraId="0FA76460" w14:textId="77777777" w:rsidR="00706779" w:rsidRPr="0051776C" w:rsidRDefault="00706779" w:rsidP="00706779">
      <w:pPr>
        <w:numPr>
          <w:ilvl w:val="0"/>
          <w:numId w:val="5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potential for research to enhance the university’s outreach and engagement to local communities or national and international </w:t>
      </w:r>
      <w:proofErr w:type="gramStart"/>
      <w:r>
        <w:rPr>
          <w:rFonts w:ascii="proximanova" w:eastAsia="Times New Roman" w:hAnsi="proximanova" w:cs="Times New Roman"/>
          <w:sz w:val="21"/>
          <w:szCs w:val="21"/>
          <w:lang w:val="en"/>
        </w:rPr>
        <w:t>audiences</w:t>
      </w:r>
      <w:proofErr w:type="gramEnd"/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2AE207A1" w14:textId="77777777" w:rsidR="00706779" w:rsidRPr="00543BD2" w:rsidRDefault="00706779" w:rsidP="002D715A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</w:p>
    <w:p w14:paraId="7C4BD181" w14:textId="77777777" w:rsidR="00C06096" w:rsidRPr="0051776C" w:rsidRDefault="00C06096" w:rsidP="00C06096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 w:rsidRPr="0051776C">
        <w:rPr>
          <w:rFonts w:ascii="capita" w:eastAsia="Times New Roman" w:hAnsi="capita" w:cs="Times New Roman"/>
          <w:sz w:val="27"/>
          <w:szCs w:val="27"/>
          <w:lang w:val="en"/>
        </w:rPr>
        <w:t>Application Requirements</w:t>
      </w:r>
    </w:p>
    <w:p w14:paraId="03B13E53" w14:textId="2DA8AC36" w:rsidR="00C06096" w:rsidRPr="0051776C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All</w:t>
      </w:r>
      <w:r w:rsidR="00B771A8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proposals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should include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these components: </w:t>
      </w:r>
    </w:p>
    <w:p w14:paraId="41B09E64" w14:textId="77777777" w:rsidR="00C06096" w:rsidRPr="0051776C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 </w:t>
      </w:r>
    </w:p>
    <w:p w14:paraId="2FB92A8F" w14:textId="78462819" w:rsidR="00C06096" w:rsidRPr="0051776C" w:rsidRDefault="00C06096" w:rsidP="00C06096">
      <w:pPr>
        <w:numPr>
          <w:ilvl w:val="0"/>
          <w:numId w:val="6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Abstract of 50-100 words. Please include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your name and project title </w:t>
      </w:r>
      <w:r w:rsidR="00256980">
        <w:rPr>
          <w:rFonts w:ascii="proximanova" w:eastAsia="Times New Roman" w:hAnsi="proximanova" w:cs="Times New Roman"/>
          <w:sz w:val="21"/>
          <w:szCs w:val="21"/>
          <w:lang w:val="en"/>
        </w:rPr>
        <w:t>o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n the abstract. </w:t>
      </w:r>
    </w:p>
    <w:p w14:paraId="6DA28DAF" w14:textId="77777777" w:rsidR="00C06096" w:rsidRDefault="00C06096" w:rsidP="00C06096">
      <w:pPr>
        <w:numPr>
          <w:ilvl w:val="0"/>
          <w:numId w:val="6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Project Description (up to 1500 words):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10225555" w14:textId="4A4E3AA2" w:rsidR="00C06096" w:rsidRDefault="00C06096" w:rsidP="00C06096">
      <w:pPr>
        <w:pStyle w:val="ListParagraph"/>
        <w:numPr>
          <w:ilvl w:val="2"/>
          <w:numId w:val="6"/>
        </w:num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Research Objectives: Indicate the key research questions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, hypothesis or rationale for the project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; how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the project is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significant to scholarship, knowledge, representation, and/or gender analysis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in your field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; and how the proposed project relates to the objectives of the Coca-Cola Critical Difference </w:t>
      </w:r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Research on Women </w:t>
      </w:r>
      <w:proofErr w:type="gramStart"/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>grants</w:t>
      </w:r>
      <w:proofErr w:type="gramEnd"/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103060F1" w14:textId="77777777" w:rsidR="00C06096" w:rsidRDefault="00C06096" w:rsidP="00C06096">
      <w:pPr>
        <w:pStyle w:val="ListParagraph"/>
        <w:numPr>
          <w:ilvl w:val="2"/>
          <w:numId w:val="6"/>
        </w:num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Theoretical Framework: Indicate the theoretical framework, concepts, and/or perspective guiding the study or project; provide a brief but adequate summary of the literature; and indicate the significance and expected contribution of the proposed research to your </w:t>
      </w:r>
      <w:proofErr w:type="gramStart"/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field</w:t>
      </w:r>
      <w:proofErr w:type="gramEnd"/>
    </w:p>
    <w:p w14:paraId="2B03C6D5" w14:textId="77777777" w:rsidR="00C06096" w:rsidRDefault="00C06096" w:rsidP="00C06096">
      <w:pPr>
        <w:pStyle w:val="ListParagraph"/>
        <w:numPr>
          <w:ilvl w:val="2"/>
          <w:numId w:val="6"/>
        </w:num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Methods or Procedures: Where relevant, explain the methodology you will use, sources of data/information/texts, and plans for analysis, interpretation or </w:t>
      </w:r>
      <w:proofErr w:type="gramStart"/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representation</w:t>
      </w:r>
      <w:proofErr w:type="gramEnd"/>
    </w:p>
    <w:p w14:paraId="4AEFA595" w14:textId="3000C61C" w:rsidR="00C06096" w:rsidRDefault="00C06096" w:rsidP="00C06096">
      <w:pPr>
        <w:pStyle w:val="ListParagraph"/>
        <w:numPr>
          <w:ilvl w:val="2"/>
          <w:numId w:val="6"/>
        </w:num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Time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l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ine: Describe the research or project plan, indicating the anticipated schedule for various activities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or stages of the project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.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Indicate the progress you have already made on the project and how, if at all, the work relates to your prior on ongoing research. 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p w14:paraId="28BCF717" w14:textId="73A1EEFB" w:rsidR="00C06096" w:rsidRPr="008C085F" w:rsidRDefault="00C06096" w:rsidP="00C06096">
      <w:pPr>
        <w:pStyle w:val="ListParagraph"/>
        <w:numPr>
          <w:ilvl w:val="2"/>
          <w:numId w:val="6"/>
        </w:numPr>
        <w:spacing w:after="0" w:line="348" w:lineRule="atLeast"/>
        <w:ind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lastRenderedPageBreak/>
        <w:t>Project Accommodations: explanation of how the research can be conducted in keeping with pandemic safety protocols, which may include social distancing with human subjects, if relevant</w:t>
      </w:r>
      <w:r w:rsidR="00256980">
        <w:rPr>
          <w:rFonts w:ascii="proximanova" w:eastAsia="Times New Roman" w:hAnsi="proximanova" w:cs="Times New Roman"/>
          <w:sz w:val="21"/>
          <w:szCs w:val="21"/>
          <w:lang w:val="en"/>
        </w:rPr>
        <w:t xml:space="preserve">. </w:t>
      </w:r>
      <w:bookmarkStart w:id="1" w:name="_Hlk66898176"/>
      <w:r w:rsidR="00256980">
        <w:rPr>
          <w:rFonts w:ascii="proximanova" w:eastAsia="Times New Roman" w:hAnsi="proximanova" w:cs="Times New Roman"/>
          <w:sz w:val="21"/>
          <w:szCs w:val="21"/>
          <w:lang w:val="en"/>
        </w:rPr>
        <w:t xml:space="preserve">Research must adhere to the university’s coronavirus travel guidelines and protocols for meetings and gatherings. 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</w:p>
    <w:bookmarkEnd w:id="1"/>
    <w:p w14:paraId="66B0148D" w14:textId="77777777" w:rsidR="00C06096" w:rsidRPr="0051776C" w:rsidRDefault="00C06096" w:rsidP="00C06096">
      <w:pPr>
        <w:numPr>
          <w:ilvl w:val="0"/>
          <w:numId w:val="6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Curriculum Vitae of no more than 3 pages</w:t>
      </w:r>
    </w:p>
    <w:p w14:paraId="0C1153BF" w14:textId="77777777" w:rsidR="00C06096" w:rsidRDefault="00C06096" w:rsidP="00C06096">
      <w:pPr>
        <w:numPr>
          <w:ilvl w:val="0"/>
          <w:numId w:val="6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IRB Human Subjects Approval or Waiver status</w:t>
      </w:r>
    </w:p>
    <w:p w14:paraId="26072CBB" w14:textId="1965B80A" w:rsidR="00C06096" w:rsidRDefault="00C06096" w:rsidP="00C06096">
      <w:pPr>
        <w:numPr>
          <w:ilvl w:val="0"/>
          <w:numId w:val="6"/>
        </w:num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>Budget. If the grant maximum of $</w:t>
      </w:r>
      <w:r w:rsidR="00D31456">
        <w:rPr>
          <w:rFonts w:ascii="proximanova" w:eastAsia="Times New Roman" w:hAnsi="proximanova" w:cs="Times New Roman"/>
          <w:sz w:val="21"/>
          <w:szCs w:val="21"/>
          <w:lang w:val="en"/>
        </w:rPr>
        <w:t>2</w:t>
      </w:r>
      <w:r w:rsidRPr="008C085F">
        <w:rPr>
          <w:rFonts w:ascii="proximanova" w:eastAsia="Times New Roman" w:hAnsi="proximanova" w:cs="Times New Roman"/>
          <w:sz w:val="21"/>
          <w:szCs w:val="21"/>
          <w:lang w:val="en"/>
        </w:rPr>
        <w:t xml:space="preserve">,000 is less than the total expenses for your project, indicate other sources of funding that you are pursuing or have received. </w:t>
      </w:r>
    </w:p>
    <w:p w14:paraId="5449CF34" w14:textId="77777777" w:rsidR="00C06096" w:rsidRPr="00C06096" w:rsidRDefault="00C06096" w:rsidP="00C06096">
      <w:pPr>
        <w:spacing w:after="0" w:line="348" w:lineRule="atLeast"/>
        <w:ind w:left="510" w:right="510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7FE7FF68" w14:textId="709C6401" w:rsidR="00C06096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E01556">
        <w:rPr>
          <w:rFonts w:ascii="proximanova" w:eastAsia="Times New Roman" w:hAnsi="proximanova" w:cs="Times New Roman"/>
          <w:sz w:val="21"/>
          <w:szCs w:val="21"/>
          <w:lang w:val="en"/>
        </w:rPr>
        <w:t xml:space="preserve">These files should be uploaded to the Qualtrics application portal in a .jpg, .pdf or .docx format. Have your documents prepared prior to beginning the application process. </w:t>
      </w:r>
    </w:p>
    <w:p w14:paraId="3AB57D7E" w14:textId="5F9C1061" w:rsidR="00325C7C" w:rsidRDefault="00325C7C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012D4FA1" w14:textId="2E0278CD" w:rsidR="00325C7C" w:rsidRPr="00325C7C" w:rsidRDefault="00325C7C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</w:pPr>
      <w:r w:rsidRPr="00BC0A30">
        <w:rPr>
          <w:rFonts w:ascii="proximanova" w:eastAsia="Times New Roman" w:hAnsi="proximanova" w:cs="Times New Roman"/>
          <w:b/>
          <w:bCs/>
          <w:color w:val="222222"/>
          <w:sz w:val="21"/>
          <w:szCs w:val="21"/>
          <w:lang w:val="en"/>
        </w:rPr>
        <w:t>Deadline:</w:t>
      </w:r>
      <w:r w:rsidRPr="0051776C">
        <w:rPr>
          <w:rFonts w:ascii="proximanova" w:eastAsia="Times New Roman" w:hAnsi="proximanova" w:cs="Times New Roman"/>
          <w:color w:val="222222"/>
          <w:sz w:val="21"/>
          <w:szCs w:val="21"/>
          <w:lang w:val="en"/>
        </w:rPr>
        <w:t xml:space="preserve"> </w:t>
      </w:r>
      <w:r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See </w:t>
      </w:r>
      <w:hyperlink r:id="rId6" w:history="1">
        <w:r w:rsidRPr="00570D33">
          <w:rPr>
            <w:rStyle w:val="Hyperlink"/>
            <w:rFonts w:ascii="proximanova" w:eastAsia="Times New Roman" w:hAnsi="proximanova" w:cs="Times New Roman"/>
            <w:b/>
            <w:bCs/>
            <w:sz w:val="21"/>
            <w:szCs w:val="21"/>
            <w:lang w:val="en"/>
          </w:rPr>
          <w:t>The Women’s Place website</w:t>
        </w:r>
      </w:hyperlink>
      <w:r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for deadlines and grant use dates</w:t>
      </w:r>
      <w:r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>.</w:t>
      </w:r>
      <w:r w:rsidRPr="00570D33">
        <w:rPr>
          <w:rFonts w:ascii="proximanova" w:eastAsia="Times New Roman" w:hAnsi="proximanova" w:cs="Times New Roman"/>
          <w:b/>
          <w:bCs/>
          <w:sz w:val="21"/>
          <w:szCs w:val="21"/>
          <w:lang w:val="en"/>
        </w:rPr>
        <w:t xml:space="preserve"> </w:t>
      </w:r>
    </w:p>
    <w:p w14:paraId="29591F12" w14:textId="77777777" w:rsidR="00C06096" w:rsidRDefault="00C06096" w:rsidP="00C06096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</w:p>
    <w:p w14:paraId="5B09B694" w14:textId="77777777" w:rsidR="00C06096" w:rsidRPr="0051776C" w:rsidRDefault="00C06096" w:rsidP="00C06096">
      <w:pPr>
        <w:spacing w:after="0" w:line="240" w:lineRule="auto"/>
        <w:textAlignment w:val="baseline"/>
        <w:outlineLvl w:val="2"/>
        <w:rPr>
          <w:rFonts w:ascii="capita" w:eastAsia="Times New Roman" w:hAnsi="capita" w:cs="Times New Roman"/>
          <w:sz w:val="27"/>
          <w:szCs w:val="27"/>
          <w:lang w:val="en"/>
        </w:rPr>
      </w:pPr>
      <w:r>
        <w:rPr>
          <w:rFonts w:ascii="capita" w:eastAsia="Times New Roman" w:hAnsi="capita" w:cs="Times New Roman"/>
          <w:sz w:val="27"/>
          <w:szCs w:val="27"/>
          <w:lang w:val="en"/>
        </w:rPr>
        <w:t>Terms of the Grant Award</w:t>
      </w:r>
    </w:p>
    <w:p w14:paraId="1EAE2FB9" w14:textId="46ACEFF4" w:rsidR="00C06096" w:rsidRPr="0051776C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All publications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, presentations, or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performances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supported by a grant should acknowledge the support of the Coca-Cola Critical Difference Research </w:t>
      </w:r>
      <w:r w:rsidR="00D460B2">
        <w:rPr>
          <w:rFonts w:ascii="proximanova" w:eastAsia="Times New Roman" w:hAnsi="proximanova" w:cs="Times New Roman"/>
          <w:sz w:val="21"/>
          <w:szCs w:val="21"/>
          <w:lang w:val="en"/>
        </w:rPr>
        <w:t xml:space="preserve">on Women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Grant and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The Women’s Place.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Failure to make adequate progress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on the project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or misuse of funds will result in the suspension of the grant.</w:t>
      </w:r>
    </w:p>
    <w:p w14:paraId="1B698B86" w14:textId="77777777" w:rsidR="00C06096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3B1A59D0" w14:textId="1FA0EC01" w:rsidR="00C06096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At the end of the grant period,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awardees should submit a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1-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to 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2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-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>page written report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and final budget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to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The Women’s Place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. This report should indicate what was achieved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through the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grant, including any publications, products, presentations,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or subsequent grants.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We also encourage you to submit a photo of yourself and any relevant images from your research. The Women’s Place</w:t>
      </w:r>
      <w:r w:rsidRPr="0051776C">
        <w:rPr>
          <w:rFonts w:ascii="proximanova" w:eastAsia="Times New Roman" w:hAnsi="proximanova" w:cs="Times New Roman"/>
          <w:sz w:val="21"/>
          <w:szCs w:val="21"/>
          <w:lang w:val="en"/>
        </w:rPr>
        <w:t xml:space="preserve"> </w:t>
      </w:r>
      <w:r>
        <w:rPr>
          <w:rFonts w:ascii="proximanova" w:eastAsia="Times New Roman" w:hAnsi="proximanova" w:cs="Times New Roman"/>
          <w:sz w:val="21"/>
          <w:szCs w:val="21"/>
          <w:lang w:val="en"/>
        </w:rPr>
        <w:t>uses these reports for fiscal audits, annual funding reports and, with permission, promotional materials for The Women’s Place and Critical Difference.</w:t>
      </w:r>
    </w:p>
    <w:p w14:paraId="7CF45AFF" w14:textId="77777777" w:rsidR="00C06096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</w:p>
    <w:p w14:paraId="4553F20E" w14:textId="77777777" w:rsidR="00C06096" w:rsidRPr="0051776C" w:rsidRDefault="00C06096" w:rsidP="00C06096">
      <w:pPr>
        <w:spacing w:after="0" w:line="348" w:lineRule="atLeast"/>
        <w:textAlignment w:val="baseline"/>
        <w:rPr>
          <w:rFonts w:ascii="proximanova" w:eastAsia="Times New Roman" w:hAnsi="proximanova" w:cs="Times New Roman"/>
          <w:sz w:val="21"/>
          <w:szCs w:val="21"/>
          <w:lang w:val="en"/>
        </w:rPr>
      </w:pPr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For questions about the grant or application process, contact </w:t>
      </w:r>
      <w:hyperlink r:id="rId7" w:history="1">
        <w:r w:rsidRPr="00405C42">
          <w:rPr>
            <w:rStyle w:val="Hyperlink"/>
            <w:rFonts w:ascii="proximanova" w:eastAsia="Times New Roman" w:hAnsi="proximanova" w:cs="Times New Roman"/>
            <w:sz w:val="21"/>
            <w:szCs w:val="21"/>
            <w:lang w:val="en"/>
          </w:rPr>
          <w:t>womensplace@osu.edu</w:t>
        </w:r>
      </w:hyperlink>
      <w:r>
        <w:rPr>
          <w:rFonts w:ascii="proximanova" w:eastAsia="Times New Roman" w:hAnsi="proximanova" w:cs="Times New Roman"/>
          <w:sz w:val="21"/>
          <w:szCs w:val="21"/>
          <w:lang w:val="en"/>
        </w:rPr>
        <w:t xml:space="preserve"> or 614-292-3960. </w:t>
      </w:r>
    </w:p>
    <w:p w14:paraId="30BEDE26" w14:textId="77777777" w:rsidR="00C06096" w:rsidRPr="00543BD2" w:rsidRDefault="00C06096" w:rsidP="002D715A">
      <w:pPr>
        <w:spacing w:after="312" w:line="348" w:lineRule="atLeast"/>
        <w:textAlignment w:val="baseline"/>
        <w:rPr>
          <w:rFonts w:ascii="proximanova" w:eastAsia="Times New Roman" w:hAnsi="proximanova" w:cs="Times New Roman"/>
          <w:color w:val="222222"/>
          <w:sz w:val="21"/>
          <w:szCs w:val="21"/>
          <w:lang w:val="en"/>
        </w:rPr>
      </w:pPr>
    </w:p>
    <w:sectPr w:rsidR="00C06096" w:rsidRPr="00543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pita">
    <w:altName w:val="Times New Roman"/>
    <w:charset w:val="00"/>
    <w:family w:val="auto"/>
    <w:pitch w:val="default"/>
  </w:font>
  <w:font w:name="proximanov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6336"/>
    <w:multiLevelType w:val="multilevel"/>
    <w:tmpl w:val="ACB2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1F275B"/>
    <w:multiLevelType w:val="multilevel"/>
    <w:tmpl w:val="27DC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125A2"/>
    <w:multiLevelType w:val="multilevel"/>
    <w:tmpl w:val="63AAE1A0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26AA8"/>
    <w:multiLevelType w:val="multilevel"/>
    <w:tmpl w:val="201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D117F9"/>
    <w:multiLevelType w:val="multilevel"/>
    <w:tmpl w:val="DD9EB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81E75"/>
    <w:multiLevelType w:val="multilevel"/>
    <w:tmpl w:val="4486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2128710">
    <w:abstractNumId w:val="3"/>
  </w:num>
  <w:num w:numId="2" w16cid:durableId="369259852">
    <w:abstractNumId w:val="0"/>
  </w:num>
  <w:num w:numId="3" w16cid:durableId="617025201">
    <w:abstractNumId w:val="1"/>
  </w:num>
  <w:num w:numId="4" w16cid:durableId="1630625576">
    <w:abstractNumId w:val="5"/>
  </w:num>
  <w:num w:numId="5" w16cid:durableId="664550805">
    <w:abstractNumId w:val="4"/>
  </w:num>
  <w:num w:numId="6" w16cid:durableId="80019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5A"/>
    <w:rsid w:val="000B03AE"/>
    <w:rsid w:val="000D1E9D"/>
    <w:rsid w:val="00182C51"/>
    <w:rsid w:val="00256980"/>
    <w:rsid w:val="002D715A"/>
    <w:rsid w:val="00325C7C"/>
    <w:rsid w:val="00351AF9"/>
    <w:rsid w:val="003D54E6"/>
    <w:rsid w:val="00493765"/>
    <w:rsid w:val="00570D33"/>
    <w:rsid w:val="00580B77"/>
    <w:rsid w:val="00594C26"/>
    <w:rsid w:val="00706779"/>
    <w:rsid w:val="00746779"/>
    <w:rsid w:val="007852D6"/>
    <w:rsid w:val="008A2B70"/>
    <w:rsid w:val="00A140B4"/>
    <w:rsid w:val="00AE1B7B"/>
    <w:rsid w:val="00B2119E"/>
    <w:rsid w:val="00B771A8"/>
    <w:rsid w:val="00C06096"/>
    <w:rsid w:val="00D31456"/>
    <w:rsid w:val="00D460B2"/>
    <w:rsid w:val="00D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F59D"/>
  <w15:chartTrackingRefBased/>
  <w15:docId w15:val="{8A3FD7C0-050E-4149-B19A-294D9362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1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60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mensplace@o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mensplace.osu.edu/grants-scholarships/cdw-research-women-grants" TargetMode="External"/><Relationship Id="rId5" Type="http://schemas.openxmlformats.org/officeDocument/2006/relationships/hyperlink" Target="https://womensplace.osu.edu/grants-scholarships/cdw-research-women-gra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Mary B.</dc:creator>
  <cp:keywords/>
  <dc:description/>
  <cp:lastModifiedBy>Florian, Diane</cp:lastModifiedBy>
  <cp:revision>8</cp:revision>
  <dcterms:created xsi:type="dcterms:W3CDTF">2022-02-13T21:52:00Z</dcterms:created>
  <dcterms:modified xsi:type="dcterms:W3CDTF">2023-02-09T18:12:00Z</dcterms:modified>
</cp:coreProperties>
</file>